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6"/>
        <w:ind w:left="0" w:right="0" w:firstLine="0"/>
        <w:spacing w:before="0" w:after="12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1b1c1d"/>
          <w:sz w:val="30"/>
        </w:rPr>
        <w:t xml:space="preserve">ПОЛИТИКА ОБРАБОТКИ ПЕРСОНАЛЬНЫХ ДАННЫХ ООО «ЭЛЛИС»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УТВЕРЖДЕНО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Директором ООО «ЭЛЛИС»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Ходиковым М.О.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Приказ № [Номер приказа] от [Дата утверждения]</w:t>
      </w:r>
      <w:r/>
    </w:p>
    <w:p>
      <w:pPr>
        <w:pStyle w:val="658"/>
        <w:ind w:left="0" w:right="0" w:firstLine="0"/>
        <w:spacing w:before="0" w:after="12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1b1c1d"/>
          <w:sz w:val="24"/>
        </w:rPr>
        <w:t xml:space="preserve">1. ОБЩИЕ ПОЛОЖЕНИЯ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1.1. Настоящая Политика обработки персональных данных (далее – «Политика») ООО «ЭЛЛИС» (далее – «Оператор») определяет порядок обработки персональных данных и меры по обеспечению безопасности персональных данных, принимаемые Оператором.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1.2. Политика разработана в соответствии с Федеральным законом от 27.07.2006 № 152-ФЗ «О персональных данных» и другими нормативными правовыми актами Российской Федерации в области защиты персональных данных.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1.3. Целью настоящей Политики является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1.4. Действие настоящей Политики распространяется на все операции, осуществляемые Оператором с персональными данными Пользователей на Сайте https://dyadyasasha.com и в рамках предоставления услуг VPN-сервиса «Дядя Саша».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1.5. Основные понятия, используемые в Политике: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* Персональные данные (ПДн): любая информация, относящаяся прямо или косвенно к определенному или определяемому физическому лицу (субъекту персональных данных).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* Обработка персональных данных: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</w:t>
      </w:r>
      <w:r>
        <w:rPr>
          <w:rFonts w:ascii="Liberation Sans" w:hAnsi="Liberation Sans" w:eastAsia="Liberation Sans" w:cs="Liberation Sans"/>
          <w:color w:val="000000"/>
          <w:sz w:val="24"/>
        </w:rPr>
        <w:t xml:space="preserve">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* Оператор: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</w:t>
      </w:r>
      <w:r>
        <w:rPr>
          <w:rFonts w:ascii="Liberation Sans" w:hAnsi="Liberation Sans" w:eastAsia="Liberation Sans" w:cs="Liberation Sans"/>
          <w:color w:val="000000"/>
          <w:sz w:val="24"/>
        </w:rPr>
        <w:t xml:space="preserve">х, состав персональных данных, подлежащих обработке, действия (операции), совершаемые с персональными данными. В рамках настоящей Политики Оператором является ООО «ЭЛЛИС».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* Сайт: Интернет-сайт, расположенный по адресу https://dyadyasasha.com.</w:t>
      </w:r>
      <w:r/>
    </w:p>
    <w:p>
      <w:pPr>
        <w:pStyle w:val="658"/>
        <w:ind w:left="0" w:right="0" w:firstLine="0"/>
        <w:spacing w:before="0" w:after="12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1b1c1d"/>
          <w:sz w:val="24"/>
        </w:rPr>
        <w:t xml:space="preserve">2. ПРИНЦИПЫ ОБРАБОТКИ ПЕРСОНАЛЬНЫХ ДАННЫХ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2.1. Обработка персональных данных осуществляется на законной и справедливой основе.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2.2.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2.3.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2.4. Обработке подлежат только персональные данные, которые отвечают целям их обработки.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2.5. Содержание и объем обрабатываемых персональных данных соответствуют заявленным целям обработки. Обрабатываемые персональные данные не являются избыточными по отношению к заявленным целям их обработки.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2.6.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либо обеспечивает их принят</w:t>
      </w:r>
      <w:r>
        <w:rPr>
          <w:rFonts w:ascii="Liberation Sans" w:hAnsi="Liberation Sans" w:eastAsia="Liberation Sans" w:cs="Liberation Sans"/>
          <w:color w:val="000000"/>
          <w:sz w:val="24"/>
        </w:rPr>
        <w:t xml:space="preserve">ие по удалению или уточнению неполных или неточных данных.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2.7.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</w:t>
      </w:r>
      <w:r>
        <w:rPr>
          <w:rFonts w:ascii="Liberation Sans" w:hAnsi="Liberation Sans" w:eastAsia="Liberation Sans" w:cs="Liberation Sans"/>
          <w:color w:val="000000"/>
          <w:sz w:val="24"/>
        </w:rPr>
        <w:t xml:space="preserve">ром, стороной которого, выгодоприобретателем или поручителем по которому является субъект персональных данных. Обрабатываемые персональные данные подлежат уничтожению либо обезличиванию по достижении целей обработки или в случае утраты необходимости в дост</w:t>
      </w:r>
      <w:r>
        <w:rPr>
          <w:rFonts w:ascii="Liberation Sans" w:hAnsi="Liberation Sans" w:eastAsia="Liberation Sans" w:cs="Liberation Sans"/>
          <w:color w:val="000000"/>
          <w:sz w:val="24"/>
        </w:rPr>
        <w:t xml:space="preserve">ижении этих целей, если иное не предусмотрено федеральным законом.</w:t>
      </w:r>
      <w:r/>
    </w:p>
    <w:p>
      <w:pPr>
        <w:pStyle w:val="658"/>
        <w:ind w:left="0" w:right="0" w:firstLine="0"/>
        <w:spacing w:before="0" w:after="12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1b1c1d"/>
          <w:sz w:val="24"/>
        </w:rPr>
        <w:t xml:space="preserve">3. ЦЕЛИ ОБРАБОТКИ ПЕРСОНАЛЬНЫХ ДАННЫХ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3.1. Оператор осуществляет обработку персональных данных Пользователей в следующих целях: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* Заключение, исполнение и прекращение гражданско-правовых договоров на предоставление доступа к VPN-сервису «Дядя Саша».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* Идентификация Пользователя и предоставление доступа к Личному кабинету Пользователя на Сайте.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* Обработка платежей за Подписку на VPN-сервис.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* Предоставление технической поддержки и консультаций Пользователям по использованию сервиса.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* Улучшение качества сервиса, разработка новых функций и анализ пользовательского опыта (с использованием обезличенных данных).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* Направление информационных и сервисных сообщений Пользователю (например, об истечении срока Подписки, изменениях в работе сервиса, важных технических уведомлениях).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* Ведение аналитики по посещаемости Сайта и поведению Пользователей с целью улучшения сервиса (с использованием обезличенных данных и файлов cookie).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* Исполнение требований законодательства Российской Федерации.</w:t>
      </w:r>
      <w:r/>
    </w:p>
    <w:p>
      <w:pPr>
        <w:pStyle w:val="658"/>
        <w:ind w:left="0" w:right="0" w:firstLine="0"/>
        <w:spacing w:before="0" w:after="12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1b1c1d"/>
          <w:sz w:val="24"/>
        </w:rPr>
        <w:t xml:space="preserve">4. ПРАВОВЫЕ ОСНОВАНИЯ ОБРАБОТКИ ПЕРСОНАЛЬНЫХ ДАННЫХ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4.1. Правовыми основаниями обработки персональных данных Оператором являются: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* Конституция Российской Федерации;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* Гражданский кодекс Российской Федерации;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* Федеральный закон от 27.07.2006 № 152-ФЗ «О персональных данных»;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* Устав ООО «ЭЛЛИС»;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* Публичная оферта на предоставление услуг VPN-сервиса «Дядя Саша»;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* Согласие субъекта персональных данных на обработку его персональных данных.</w:t>
      </w:r>
      <w:r/>
    </w:p>
    <w:p>
      <w:pPr>
        <w:pStyle w:val="658"/>
        <w:ind w:left="0" w:right="0" w:firstLine="0"/>
        <w:spacing w:before="0" w:after="12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1b1c1d"/>
          <w:sz w:val="24"/>
        </w:rPr>
        <w:t xml:space="preserve">5. ОБЪЕМ И КАТЕГОРИИ ОБРАБАТЫВАЕМЫХ ПЕРСОНАЛЬНЫХ ДАННЫХ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5.1. Оператор обрабатывает следующие категории персональных данных Пользователей: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* Данные, предоставляемые Пользователем при регистрации и оплате: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* Адрес электронной почты.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* Имя (только при необходимости для платежной системы и является необязательным для внутренней идентификации сервисом).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* Платежные реквизиты (номер банковской карты, срок действия, имя держателя карты, CVC/CVV – обрабатываются исключительно сторонними платежными системами, Оператор не хранит эти данные).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* Технические данные, собираемые автоматически при использовании Сайта и сервиса: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* IP-адрес, данные о браузере, операционной системе.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* Сведения о посещенных страницах Сайта, времени сессии.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* Данные об использовании VPN-сервиса (объем потребленного трафика, время подключения, используемый сервер – эти данные хранятся в обезличенном или агрегированном виде и не привязываются к конкретному Пользователю для сохранения приватности).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* Информация о файлах cookie (см. Политику использования файлов cookie).</w:t>
      </w:r>
      <w:r/>
    </w:p>
    <w:p>
      <w:pPr>
        <w:ind w:left="0" w:right="0" w:firstLine="0"/>
        <w:spacing w:before="0" w:after="24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b1c1d"/>
          <w:sz w:val="24"/>
        </w:rPr>
        <w:t xml:space="preserve">5.2. Оператор </w:t>
      </w:r>
      <w:r>
        <w:rPr>
          <w:rFonts w:ascii="Liberation Sans" w:hAnsi="Liberation Sans" w:eastAsia="Liberation Sans" w:cs="Liberation Sans"/>
          <w:b/>
          <w:color w:val="1b1c1d"/>
          <w:sz w:val="24"/>
        </w:rPr>
        <w:t xml:space="preserve">не осуществляет</w:t>
      </w:r>
      <w:r>
        <w:rPr>
          <w:rFonts w:ascii="Liberation Sans" w:hAnsi="Liberation Sans" w:eastAsia="Liberation Sans" w:cs="Liberation Sans"/>
          <w:color w:val="1b1c1d"/>
          <w:sz w:val="24"/>
        </w:rPr>
        <w:t xml:space="preserve"> обработку биометрических персональных данных (сведений, которые характеризуют физиологические и биологические особенности человека, на основании которых можно установить его личность) и специальных категорий персональных данных (касающихся расовой, национ</w:t>
      </w:r>
      <w:r>
        <w:rPr>
          <w:rFonts w:ascii="Liberation Sans" w:hAnsi="Liberation Sans" w:eastAsia="Liberation Sans" w:cs="Liberation Sans"/>
          <w:color w:val="1b1c1d"/>
          <w:sz w:val="24"/>
        </w:rPr>
        <w:t xml:space="preserve">альной принадлежности, политических взглядов, религиозных или философских убеждений, состояния здоровья, интимной жизни).</w:t>
      </w:r>
      <w:r/>
    </w:p>
    <w:p>
      <w:pPr>
        <w:pStyle w:val="658"/>
        <w:ind w:left="0" w:right="0" w:firstLine="0"/>
        <w:spacing w:before="0" w:after="12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1b1c1d"/>
          <w:sz w:val="24"/>
        </w:rPr>
        <w:t xml:space="preserve">6. ПОРЯДОК И УСЛОВИЯ ОБРАБОТКИ ПЕРСОНАЛЬНЫХ ДАННЫХ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6.1. Обработка персональных данных осуществляется с согласия субъекта персональных данных на обработку его персональных данных.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6.2. Персональные данные Пользователей хранятся и обрабатываются с использованием баз данных, физически расположенных на территории Российской Федерации.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6.3. Оператор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</w:t>
      </w:r>
      <w:r>
        <w:rPr>
          <w:rFonts w:ascii="Liberation Sans" w:hAnsi="Liberation Sans" w:eastAsia="Liberation Sans" w:cs="Liberation Sans"/>
          <w:color w:val="000000"/>
          <w:sz w:val="24"/>
        </w:rPr>
        <w:t xml:space="preserve">данных, а также от иных неправомерных действий в отношении персональных данных, включая: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* Назначение ответственного за организацию обработки персональных данных.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* Разработка и утверждение локальных актов по вопросам обработки и защиты персональных данных.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* Применение правовых, организационных и технических мер по обеспечению безопасности персональных данных в соответствии со ст. 19 Федерального закона № 152-ФЗ.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* Осуществление внутреннего контроля соответствия обработки персональных данных Федеральному закону № 152-ФЗ и принятым в соответствии с ним нормативным правовым актам, требованиям к защите персональных данных, Политике Оператора в отношении обработки перс</w:t>
      </w:r>
      <w:r>
        <w:rPr>
          <w:rFonts w:ascii="Liberation Sans" w:hAnsi="Liberation Sans" w:eastAsia="Liberation Sans" w:cs="Liberation Sans"/>
          <w:color w:val="000000"/>
          <w:sz w:val="24"/>
        </w:rPr>
        <w:t xml:space="preserve">ональных данных.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* Оценка вреда, который может быть причинен субъектам персональных данных в случае нарушения Федерального закона № 152-ФЗ, соотношение указанного вреда и принимаемых Оператором мер.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* 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документами, определяющими </w:t>
      </w:r>
      <w:r>
        <w:rPr>
          <w:rFonts w:ascii="Liberation Sans" w:hAnsi="Liberation Sans" w:eastAsia="Liberation Sans" w:cs="Liberation Sans"/>
          <w:color w:val="000000"/>
          <w:sz w:val="24"/>
        </w:rPr>
        <w:t xml:space="preserve">политику Оператора в отношении обработки персональных данных, локальными актами по вопросам обработки персональных данных, и (или) обучение указанных работников.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6.4. Передача персональных данных третьим лицам осуществляется только с согласия субъекта персональных данных, за исключением случаев, предусмотренных законодательством РФ (например, по запросу суда или уполномоченных государственных органов).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6.5. Срок обработки персональных данных определяется целями их обработки, но не дольше срока, установленного законодательством РФ, или срока действия Договора между Оператором и Пользователем.</w:t>
      </w:r>
      <w:r/>
    </w:p>
    <w:p>
      <w:pPr>
        <w:pStyle w:val="658"/>
        <w:ind w:left="0" w:right="0" w:firstLine="0"/>
        <w:spacing w:before="0" w:after="12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1b1c1d"/>
          <w:sz w:val="24"/>
        </w:rPr>
        <w:t xml:space="preserve">7. АКТУАЛИЗАЦИЯ, ИСПРАВЛЕНИЕ, УДАЛЕНИЕ, УНИЧТОЖЕНИЕ ПЕРСОНАЛЬНЫХ ДАННЫХ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7.1. В случае выявления неточных персональных данных или неправомерных действий с ними, Оператор обязан осуществить блокирование персональных данных с момента такого выявления.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7.2. В случае подтверждения факта неточности персональных данных или неправомерности их обработки, Оператор обязан на основании сведений, представленных субъектом персональных данных или его представителем, либо Роскомнадзором, уточнить или уничтожить таки</w:t>
      </w:r>
      <w:r>
        <w:rPr>
          <w:rFonts w:ascii="Liberation Sans" w:hAnsi="Liberation Sans" w:eastAsia="Liberation Sans" w:cs="Liberation Sans"/>
          <w:color w:val="000000"/>
          <w:sz w:val="24"/>
        </w:rPr>
        <w:t xml:space="preserve">е персональные данные.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7.3. В случае достижения цели обработки персональных данных или утраты необходимости в достижении этих целей, а также в случае отзыва субъектом персональных данных согласия на их обработку, персональные данные подлежат уничтожению, если: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* иное не предусмотрено договором, стороной которого, выгодоприобретателем или поручителем по которому является субъект персональных данных;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* Оператор не вправе осуществлять обработку без согласия субъекта персональных данных на основаниях, предусмотренных Федеральным законом № 152-ФЗ или иными федеральными законами;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* иное не предусмотрено иным соглашением между Оператором и субъектом персональных данных.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7.4. В случае отзыва субъектом персональных данных согласия на обработку его персональных данных, Оператор прекращает их обработку и уничтожает персональные данные в срок, не превышающий 30 (Тридцати) дней с даты поступления указанного отзыва, за исключени</w:t>
      </w:r>
      <w:r>
        <w:rPr>
          <w:rFonts w:ascii="Liberation Sans" w:hAnsi="Liberation Sans" w:eastAsia="Liberation Sans" w:cs="Liberation Sans"/>
          <w:color w:val="000000"/>
          <w:sz w:val="24"/>
        </w:rPr>
        <w:t xml:space="preserve">ем случаев, когда Оператор вправе продолжить обработку без согласия субъекта персональных данных на законных основаниях.</w:t>
      </w:r>
      <w:r/>
    </w:p>
    <w:p>
      <w:pPr>
        <w:pStyle w:val="658"/>
        <w:ind w:left="0" w:right="0" w:firstLine="0"/>
        <w:spacing w:before="0" w:after="12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1b1c1d"/>
          <w:sz w:val="24"/>
        </w:rPr>
        <w:t xml:space="preserve">8. ПОРЯДОК ПОЛУЧЕНИЯ РАЗЪЯСНЕНИЙ ПО ВОПРОСАМ ОБРАБОТКИ ПЕРСОНАЛЬНЫХ ДАННЫХ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8.1. Субъекты персональных данных, чьи данные обрабатываются Оператором, имеют право на получение информации, касающейся обработки их персональных данных, в том числе содержащей: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* подтверждение факта обработки персональных данных Оператором;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* правовые основания и цели обработки персональных данных;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* цели и применяемые Оператором способы обработки персональных данных;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*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</w:t>
      </w:r>
      <w:r>
        <w:rPr>
          <w:rFonts w:ascii="Liberation Sans" w:hAnsi="Liberation Sans" w:eastAsia="Liberation Sans" w:cs="Liberation Sans"/>
          <w:color w:val="000000"/>
          <w:sz w:val="24"/>
        </w:rPr>
        <w:t xml:space="preserve">ного закона;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*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* сроки обработки персональных данных, в том числе сроки их хранения;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* порядок осуществления субъектом персональных данных прав, предусмотренных Федеральным законом № 152-ФЗ;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* информацию об осуществленной или о предполагаемой трансграничной передаче данных;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*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* иные сведения, предусмотренные Федеральным законом № 152-ФЗ или другими федеральными законами.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8.2. Для получения указанной информации субъект персональных данных должен направить запрос Оператору по адресу: 410037, Саратовская область, г. Саратов, ул. Пшеничная, д. 255 или на адрес электронной почты info@dyadyasasha.com. Запрос должен содержать ном</w:t>
      </w:r>
      <w:r>
        <w:rPr>
          <w:rFonts w:ascii="Liberation Sans" w:hAnsi="Liberation Sans" w:eastAsia="Liberation Sans" w:cs="Liberation Sans"/>
          <w:color w:val="000000"/>
          <w:sz w:val="24"/>
        </w:rPr>
        <w:t xml:space="preserve">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субъекта персональных данных в отношениях с Оператором </w:t>
      </w:r>
      <w:r>
        <w:rPr>
          <w:rFonts w:ascii="Liberation Sans" w:hAnsi="Liberation Sans" w:eastAsia="Liberation Sans" w:cs="Liberation Sans"/>
          <w:color w:val="000000"/>
          <w:sz w:val="24"/>
        </w:rPr>
        <w:t xml:space="preserve">(номер договора, номер Подписки и т.д.), либо сведения, иным образом подтверждающие факт обработки персональных данных Оператором, подпись субъекта персональных данных или его представителя.</w:t>
      </w:r>
      <w:r/>
    </w:p>
    <w:p>
      <w:pPr>
        <w:pStyle w:val="658"/>
        <w:ind w:left="0" w:right="0" w:firstLine="0"/>
        <w:spacing w:before="0" w:after="12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1b1c1d"/>
          <w:sz w:val="24"/>
        </w:rPr>
        <w:t xml:space="preserve">9. ЗАКЛЮЧИТЕЛЬНЫЕ ПОЛОЖЕНИЯ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9.1. Настоящая Политика является внутренним документом ООО «ЭЛЛИС» и подлежит размещению на Сайте Оператора.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9.2. Оператор имеет право вносить изменения в настоящую Политику в одностороннем порядке. Новая редакция Политики вступает в силу с момента ее размещения на Сайте, если иное не предусмотрено новой редакцией Политики.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9.3. Контроль за исполнением требований настоящей Политики осуществляется ответственным за организацию обработки персональных данных.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Реквизиты Оператора: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ООО «ЭЛЛИС»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Юридический адрес: 410037, Саратовская область, г. Саратов, ул. Пшеничная, д. 255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ИНН: 6451018474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ОГРН: 1216400004479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Email: info@dyadyasasha.com</w:t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b1c1d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b1c1d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b1c1d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b1c1d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b1c1d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b1c1d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b1c1d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b1c1d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b1c1d"/>
        <w:sz w:val="24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R7-Office/2025.2.1.801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Михаил Ходиков</cp:lastModifiedBy>
  <cp:revision>2</cp:revision>
  <dcterms:modified xsi:type="dcterms:W3CDTF">2025-07-22T13:40:25Z</dcterms:modified>
</cp:coreProperties>
</file>